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F6" w:rsidRPr="0080155F" w:rsidRDefault="00CF60F6" w:rsidP="002769B6">
      <w:pPr>
        <w:jc w:val="center"/>
        <w:rPr>
          <w:rFonts w:cs="Times New Roman"/>
          <w:b/>
          <w:bCs/>
          <w:sz w:val="28"/>
          <w:szCs w:val="28"/>
        </w:rPr>
      </w:pPr>
      <w:r w:rsidRPr="0080155F">
        <w:rPr>
          <w:rFonts w:cs="宋体" w:hint="eastAsia"/>
          <w:b/>
          <w:bCs/>
          <w:sz w:val="28"/>
          <w:szCs w:val="28"/>
        </w:rPr>
        <w:t>关于开展双一流系列学术讲座的通知</w:t>
      </w:r>
    </w:p>
    <w:p w:rsidR="00CF60F6" w:rsidRDefault="00CF60F6">
      <w:pPr>
        <w:rPr>
          <w:rFonts w:cs="Times New Roman"/>
          <w:sz w:val="28"/>
          <w:szCs w:val="28"/>
        </w:rPr>
      </w:pPr>
    </w:p>
    <w:p w:rsidR="00CF60F6" w:rsidRDefault="00CF60F6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校内各学院：</w:t>
      </w:r>
    </w:p>
    <w:p w:rsidR="00CF60F6" w:rsidRDefault="00CF60F6" w:rsidP="00F91D94">
      <w:pPr>
        <w:ind w:firstLine="54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为了推动</w:t>
      </w:r>
      <w:proofErr w:type="gramStart"/>
      <w:r>
        <w:rPr>
          <w:rFonts w:cs="宋体" w:hint="eastAsia"/>
          <w:sz w:val="28"/>
          <w:szCs w:val="28"/>
        </w:rPr>
        <w:t>学校双</w:t>
      </w:r>
      <w:proofErr w:type="gramEnd"/>
      <w:r>
        <w:rPr>
          <w:rFonts w:cs="宋体" w:hint="eastAsia"/>
          <w:sz w:val="28"/>
          <w:szCs w:val="28"/>
        </w:rPr>
        <w:t>一流学科建设工作，营造良好的学术氛围，促进学术交流，学校将在这学期开展双一流系列学术讲座，旨在邀请一批具有重要学术影响的校外专家来校作学术报告。现将具体事项通知如下。</w:t>
      </w:r>
    </w:p>
    <w:p w:rsidR="00CF60F6" w:rsidRDefault="00CF60F6" w:rsidP="00F91D94">
      <w:pPr>
        <w:ind w:firstLine="54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一、邀请注意事项</w:t>
      </w:r>
    </w:p>
    <w:p w:rsidR="00CF60F6" w:rsidRDefault="00CF60F6" w:rsidP="00F37C9D">
      <w:pPr>
        <w:pStyle w:val="a3"/>
        <w:ind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、各学院具有博士学位的教师可以邀请</w:t>
      </w: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名专家。</w:t>
      </w:r>
    </w:p>
    <w:p w:rsidR="00CF60F6" w:rsidRDefault="00CF60F6" w:rsidP="00F37C9D">
      <w:pPr>
        <w:pStyle w:val="a3"/>
        <w:ind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、邀请专家应为两院院士、教育部长</w:t>
      </w:r>
      <w:proofErr w:type="gramStart"/>
      <w:r>
        <w:rPr>
          <w:rFonts w:cs="宋体" w:hint="eastAsia"/>
          <w:sz w:val="28"/>
          <w:szCs w:val="28"/>
        </w:rPr>
        <w:t>江学者</w:t>
      </w:r>
      <w:proofErr w:type="gramEnd"/>
      <w:r>
        <w:rPr>
          <w:rFonts w:cs="宋体" w:hint="eastAsia"/>
          <w:sz w:val="28"/>
          <w:szCs w:val="28"/>
        </w:rPr>
        <w:t>特聘教授、国家“千人计划”入选者、国家杰出青年基金获得者、国家优秀青年基金获得者、国家哲学社会科学成果文库入选者等优秀专家。资助讲座费为</w:t>
      </w:r>
      <w:r>
        <w:rPr>
          <w:sz w:val="28"/>
          <w:szCs w:val="28"/>
        </w:rPr>
        <w:t>3000-5000</w:t>
      </w:r>
      <w:r>
        <w:rPr>
          <w:rFonts w:cs="宋体" w:hint="eastAsia"/>
          <w:sz w:val="28"/>
          <w:szCs w:val="28"/>
        </w:rPr>
        <w:t>元</w:t>
      </w:r>
      <w:r>
        <w:rPr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人。</w:t>
      </w:r>
    </w:p>
    <w:p w:rsidR="00CF60F6" w:rsidRDefault="00CF60F6" w:rsidP="00F37C9D">
      <w:pPr>
        <w:pStyle w:val="a3"/>
        <w:ind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、科研处全额资助被邀请专家的国内来往机票、交流期间的住宿费、讲座劳务费。经费使用按学校财务政策执行。</w:t>
      </w:r>
    </w:p>
    <w:p w:rsidR="00CF60F6" w:rsidRDefault="00CF60F6" w:rsidP="00F37C9D">
      <w:pPr>
        <w:pStyle w:val="a3"/>
        <w:ind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cs="宋体" w:hint="eastAsia"/>
          <w:sz w:val="28"/>
          <w:szCs w:val="28"/>
        </w:rPr>
        <w:t>、学术报告必须在</w:t>
      </w:r>
      <w:r>
        <w:rPr>
          <w:sz w:val="28"/>
          <w:szCs w:val="28"/>
        </w:rPr>
        <w:t>2016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>12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20</w:t>
      </w:r>
      <w:r>
        <w:rPr>
          <w:rFonts w:cs="宋体" w:hint="eastAsia"/>
          <w:sz w:val="28"/>
          <w:szCs w:val="28"/>
        </w:rPr>
        <w:t>日之前完成。</w:t>
      </w:r>
    </w:p>
    <w:p w:rsidR="00CF60F6" w:rsidRDefault="00CF60F6" w:rsidP="001412B4">
      <w:pPr>
        <w:pStyle w:val="a3"/>
        <w:ind w:firstLineChars="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二、申请程序和截止时间</w:t>
      </w:r>
    </w:p>
    <w:p w:rsidR="00CF60F6" w:rsidRDefault="00CF60F6" w:rsidP="00F37C9D">
      <w:pPr>
        <w:pStyle w:val="a3"/>
        <w:ind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、填写《</w:t>
      </w:r>
      <w:r w:rsidRPr="00050EE9">
        <w:rPr>
          <w:rFonts w:cs="宋体" w:hint="eastAsia"/>
          <w:sz w:val="28"/>
          <w:szCs w:val="28"/>
        </w:rPr>
        <w:t>四川师范大学</w:t>
      </w:r>
      <w:r>
        <w:rPr>
          <w:rFonts w:cs="宋体" w:hint="eastAsia"/>
          <w:sz w:val="28"/>
          <w:szCs w:val="28"/>
        </w:rPr>
        <w:t>双一流系列</w:t>
      </w:r>
      <w:r w:rsidRPr="00050EE9">
        <w:rPr>
          <w:rFonts w:cs="宋体" w:hint="eastAsia"/>
          <w:sz w:val="28"/>
          <w:szCs w:val="28"/>
        </w:rPr>
        <w:t>学术报告申请表</w:t>
      </w:r>
      <w:r>
        <w:rPr>
          <w:rFonts w:cs="宋体" w:hint="eastAsia"/>
          <w:sz w:val="28"/>
          <w:szCs w:val="28"/>
        </w:rPr>
        <w:t>》和《汇总表》并提交学院审核，</w:t>
      </w:r>
      <w:r w:rsidRPr="00314D86">
        <w:rPr>
          <w:rFonts w:cs="宋体" w:hint="eastAsia"/>
          <w:sz w:val="28"/>
          <w:szCs w:val="28"/>
        </w:rPr>
        <w:t>学院将汇总后的电子表格发送到</w:t>
      </w:r>
      <w:r w:rsidRPr="00314D86">
        <w:rPr>
          <w:sz w:val="28"/>
          <w:szCs w:val="28"/>
        </w:rPr>
        <w:t>scsdkyc@sicnu.edu.cn</w:t>
      </w:r>
      <w:r>
        <w:rPr>
          <w:sz w:val="28"/>
          <w:szCs w:val="28"/>
        </w:rPr>
        <w:t xml:space="preserve">, </w:t>
      </w:r>
      <w:r>
        <w:rPr>
          <w:rFonts w:cs="宋体" w:hint="eastAsia"/>
          <w:sz w:val="28"/>
          <w:szCs w:val="28"/>
        </w:rPr>
        <w:t>将签字盖章后的纸质申请表和汇总表报送科研处</w:t>
      </w:r>
      <w:r>
        <w:rPr>
          <w:sz w:val="28"/>
          <w:szCs w:val="28"/>
        </w:rPr>
        <w:t>302</w:t>
      </w:r>
      <w:r>
        <w:rPr>
          <w:rFonts w:cs="宋体" w:hint="eastAsia"/>
          <w:sz w:val="28"/>
          <w:szCs w:val="28"/>
        </w:rPr>
        <w:t>办公室</w:t>
      </w:r>
      <w:r w:rsidRPr="00050EE9">
        <w:rPr>
          <w:rFonts w:cs="宋体" w:hint="eastAsia"/>
          <w:sz w:val="28"/>
          <w:szCs w:val="28"/>
        </w:rPr>
        <w:t>。</w:t>
      </w:r>
    </w:p>
    <w:p w:rsidR="00CF60F6" w:rsidRDefault="00CF60F6" w:rsidP="00F37C9D">
      <w:pPr>
        <w:pStyle w:val="a3"/>
        <w:ind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</w:t>
      </w:r>
      <w:r w:rsidR="00F37C9D">
        <w:rPr>
          <w:rFonts w:cs="宋体" w:hint="eastAsia"/>
          <w:sz w:val="28"/>
          <w:szCs w:val="28"/>
        </w:rPr>
        <w:t>第一批</w:t>
      </w:r>
      <w:r>
        <w:rPr>
          <w:rFonts w:cs="宋体" w:hint="eastAsia"/>
          <w:sz w:val="28"/>
          <w:szCs w:val="28"/>
        </w:rPr>
        <w:t>申请截止时间为</w:t>
      </w:r>
      <w:r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>16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>9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29</w:t>
      </w:r>
      <w:r>
        <w:rPr>
          <w:rFonts w:cs="宋体" w:hint="eastAsia"/>
          <w:sz w:val="28"/>
          <w:szCs w:val="28"/>
        </w:rPr>
        <w:t>日，</w:t>
      </w:r>
      <w:r w:rsidR="00F37C9D">
        <w:rPr>
          <w:rFonts w:cs="宋体" w:hint="eastAsia"/>
          <w:sz w:val="28"/>
          <w:szCs w:val="28"/>
        </w:rPr>
        <w:t>下批次的申请根</w:t>
      </w:r>
      <w:r w:rsidR="00F37C9D">
        <w:rPr>
          <w:rFonts w:cs="宋体" w:hint="eastAsia"/>
          <w:sz w:val="28"/>
          <w:szCs w:val="28"/>
        </w:rPr>
        <w:lastRenderedPageBreak/>
        <w:t>据第一批的开展情况</w:t>
      </w:r>
      <w:r w:rsidR="007F23EE">
        <w:rPr>
          <w:rFonts w:cs="宋体" w:hint="eastAsia"/>
          <w:sz w:val="28"/>
          <w:szCs w:val="28"/>
        </w:rPr>
        <w:t>确定</w:t>
      </w:r>
      <w:r w:rsidR="00F37C9D">
        <w:rPr>
          <w:rFonts w:cs="宋体" w:hint="eastAsia"/>
          <w:sz w:val="28"/>
          <w:szCs w:val="28"/>
        </w:rPr>
        <w:t>。</w:t>
      </w:r>
    </w:p>
    <w:p w:rsidR="00CF60F6" w:rsidRDefault="00CF60F6" w:rsidP="00F37C9D">
      <w:pPr>
        <w:pStyle w:val="a3"/>
        <w:ind w:firstLine="560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三、信息发布及票据报销</w:t>
      </w:r>
    </w:p>
    <w:p w:rsidR="00CF60F6" w:rsidRDefault="00CF60F6" w:rsidP="00F37C9D">
      <w:pPr>
        <w:pStyle w:val="a3"/>
        <w:ind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、在开展学术报告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天前，邀请人通过学院在校园信息网发布学术讲座信息。</w:t>
      </w:r>
    </w:p>
    <w:p w:rsidR="00CF60F6" w:rsidRDefault="00CF60F6" w:rsidP="00F37C9D">
      <w:pPr>
        <w:pStyle w:val="a3"/>
        <w:ind w:firstLine="560"/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、向科研处提交由学院分管</w:t>
      </w:r>
      <w:proofErr w:type="gramStart"/>
      <w:r>
        <w:rPr>
          <w:rFonts w:cs="宋体" w:hint="eastAsia"/>
          <w:sz w:val="28"/>
          <w:szCs w:val="28"/>
        </w:rPr>
        <w:t>科研院长</w:t>
      </w:r>
      <w:proofErr w:type="gramEnd"/>
      <w:r>
        <w:rPr>
          <w:rFonts w:cs="宋体" w:hint="eastAsia"/>
          <w:sz w:val="28"/>
          <w:szCs w:val="28"/>
        </w:rPr>
        <w:t>签字后的财务报销票据和讲座照片，由科研处长签字后予以报销。</w:t>
      </w:r>
    </w:p>
    <w:p w:rsidR="00CF60F6" w:rsidRDefault="00CF60F6" w:rsidP="00F37C9D">
      <w:pPr>
        <w:pStyle w:val="a3"/>
        <w:ind w:firstLine="560"/>
        <w:rPr>
          <w:rFonts w:cs="Times New Roman"/>
          <w:sz w:val="28"/>
          <w:szCs w:val="28"/>
        </w:rPr>
      </w:pPr>
    </w:p>
    <w:p w:rsidR="00CF60F6" w:rsidRDefault="00CF60F6" w:rsidP="00F37C9D">
      <w:pPr>
        <w:pStyle w:val="a3"/>
        <w:ind w:firstLine="560"/>
        <w:rPr>
          <w:rFonts w:cs="Times New Roman"/>
          <w:sz w:val="28"/>
          <w:szCs w:val="28"/>
        </w:rPr>
      </w:pPr>
    </w:p>
    <w:p w:rsidR="00CF60F6" w:rsidRDefault="00CF60F6" w:rsidP="00F37C9D">
      <w:pPr>
        <w:pStyle w:val="a3"/>
        <w:ind w:firstLine="560"/>
        <w:jc w:val="righ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科研处</w:t>
      </w:r>
    </w:p>
    <w:p w:rsidR="00CF60F6" w:rsidRDefault="00CF60F6" w:rsidP="00F37C9D">
      <w:pPr>
        <w:pStyle w:val="a3"/>
        <w:ind w:firstLine="560"/>
        <w:jc w:val="right"/>
        <w:rPr>
          <w:rFonts w:cs="Times New Roman"/>
          <w:sz w:val="28"/>
          <w:szCs w:val="28"/>
        </w:rPr>
      </w:pPr>
      <w:r>
        <w:rPr>
          <w:sz w:val="28"/>
          <w:szCs w:val="28"/>
        </w:rPr>
        <w:t>2016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>9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>13</w:t>
      </w:r>
      <w:r>
        <w:rPr>
          <w:rFonts w:cs="宋体" w:hint="eastAsia"/>
          <w:sz w:val="28"/>
          <w:szCs w:val="28"/>
        </w:rPr>
        <w:t>日</w:t>
      </w:r>
    </w:p>
    <w:p w:rsidR="00CF60F6" w:rsidRDefault="00CF60F6" w:rsidP="00F37C9D">
      <w:pPr>
        <w:pStyle w:val="a3"/>
        <w:ind w:firstLine="560"/>
        <w:rPr>
          <w:rFonts w:cs="Times New Roman"/>
          <w:sz w:val="28"/>
          <w:szCs w:val="28"/>
        </w:rPr>
      </w:pPr>
    </w:p>
    <w:p w:rsidR="00CF60F6" w:rsidRPr="00B35875" w:rsidRDefault="00CF60F6" w:rsidP="001A601B">
      <w:pPr>
        <w:pStyle w:val="a3"/>
        <w:ind w:left="900" w:firstLineChars="0" w:firstLine="0"/>
        <w:rPr>
          <w:rFonts w:cs="Times New Roman"/>
          <w:sz w:val="28"/>
          <w:szCs w:val="28"/>
        </w:rPr>
      </w:pPr>
    </w:p>
    <w:sectPr w:rsidR="00CF60F6" w:rsidRPr="00B35875" w:rsidSect="008A6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69A" w:rsidRDefault="000A769A" w:rsidP="008D7D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769A" w:rsidRDefault="000A769A" w:rsidP="008D7D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69A" w:rsidRDefault="000A769A" w:rsidP="008D7D7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769A" w:rsidRDefault="000A769A" w:rsidP="008D7D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4ED"/>
    <w:multiLevelType w:val="hybridMultilevel"/>
    <w:tmpl w:val="3A4A9F8C"/>
    <w:lvl w:ilvl="0" w:tplc="6C300A0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7EF003C"/>
    <w:multiLevelType w:val="hybridMultilevel"/>
    <w:tmpl w:val="D0224F92"/>
    <w:lvl w:ilvl="0" w:tplc="902C62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>
      <w:start w:val="1"/>
      <w:numFmt w:val="lowerRoman"/>
      <w:lvlText w:val="%3."/>
      <w:lvlJc w:val="right"/>
      <w:pPr>
        <w:ind w:left="1800" w:hanging="420"/>
      </w:pPr>
    </w:lvl>
    <w:lvl w:ilvl="3" w:tplc="0409000F">
      <w:start w:val="1"/>
      <w:numFmt w:val="decimal"/>
      <w:lvlText w:val="%4."/>
      <w:lvlJc w:val="left"/>
      <w:pPr>
        <w:ind w:left="2220" w:hanging="420"/>
      </w:pPr>
    </w:lvl>
    <w:lvl w:ilvl="4" w:tplc="04090019">
      <w:start w:val="1"/>
      <w:numFmt w:val="lowerLetter"/>
      <w:lvlText w:val="%5)"/>
      <w:lvlJc w:val="left"/>
      <w:pPr>
        <w:ind w:left="2640" w:hanging="420"/>
      </w:pPr>
    </w:lvl>
    <w:lvl w:ilvl="5" w:tplc="0409001B">
      <w:start w:val="1"/>
      <w:numFmt w:val="lowerRoman"/>
      <w:lvlText w:val="%6."/>
      <w:lvlJc w:val="right"/>
      <w:pPr>
        <w:ind w:left="3060" w:hanging="420"/>
      </w:pPr>
    </w:lvl>
    <w:lvl w:ilvl="6" w:tplc="0409000F">
      <w:start w:val="1"/>
      <w:numFmt w:val="decimal"/>
      <w:lvlText w:val="%7."/>
      <w:lvlJc w:val="left"/>
      <w:pPr>
        <w:ind w:left="3480" w:hanging="420"/>
      </w:pPr>
    </w:lvl>
    <w:lvl w:ilvl="7" w:tplc="04090019">
      <w:start w:val="1"/>
      <w:numFmt w:val="lowerLetter"/>
      <w:lvlText w:val="%8)"/>
      <w:lvlJc w:val="left"/>
      <w:pPr>
        <w:ind w:left="3900" w:hanging="420"/>
      </w:pPr>
    </w:lvl>
    <w:lvl w:ilvl="8" w:tplc="0409001B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12FF7357"/>
    <w:multiLevelType w:val="hybridMultilevel"/>
    <w:tmpl w:val="4F003898"/>
    <w:lvl w:ilvl="0" w:tplc="CCA20126">
      <w:start w:val="2"/>
      <w:numFmt w:val="decimal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3">
    <w:nsid w:val="46087293"/>
    <w:multiLevelType w:val="hybridMultilevel"/>
    <w:tmpl w:val="84923B7A"/>
    <w:lvl w:ilvl="0" w:tplc="E90C22C0">
      <w:start w:val="2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5FA867ED"/>
    <w:multiLevelType w:val="hybridMultilevel"/>
    <w:tmpl w:val="196A7B7C"/>
    <w:lvl w:ilvl="0" w:tplc="C944B780">
      <w:start w:val="1"/>
      <w:numFmt w:val="japaneseCounting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>
      <w:start w:val="1"/>
      <w:numFmt w:val="lowerRoman"/>
      <w:lvlText w:val="%3."/>
      <w:lvlJc w:val="right"/>
      <w:pPr>
        <w:ind w:left="1800" w:hanging="420"/>
      </w:pPr>
    </w:lvl>
    <w:lvl w:ilvl="3" w:tplc="0409000F">
      <w:start w:val="1"/>
      <w:numFmt w:val="decimal"/>
      <w:lvlText w:val="%4."/>
      <w:lvlJc w:val="left"/>
      <w:pPr>
        <w:ind w:left="2220" w:hanging="420"/>
      </w:pPr>
    </w:lvl>
    <w:lvl w:ilvl="4" w:tplc="04090019">
      <w:start w:val="1"/>
      <w:numFmt w:val="lowerLetter"/>
      <w:lvlText w:val="%5)"/>
      <w:lvlJc w:val="left"/>
      <w:pPr>
        <w:ind w:left="2640" w:hanging="420"/>
      </w:pPr>
    </w:lvl>
    <w:lvl w:ilvl="5" w:tplc="0409001B">
      <w:start w:val="1"/>
      <w:numFmt w:val="lowerRoman"/>
      <w:lvlText w:val="%6."/>
      <w:lvlJc w:val="right"/>
      <w:pPr>
        <w:ind w:left="3060" w:hanging="420"/>
      </w:pPr>
    </w:lvl>
    <w:lvl w:ilvl="6" w:tplc="0409000F">
      <w:start w:val="1"/>
      <w:numFmt w:val="decimal"/>
      <w:lvlText w:val="%7."/>
      <w:lvlJc w:val="left"/>
      <w:pPr>
        <w:ind w:left="3480" w:hanging="420"/>
      </w:pPr>
    </w:lvl>
    <w:lvl w:ilvl="7" w:tplc="04090019">
      <w:start w:val="1"/>
      <w:numFmt w:val="lowerLetter"/>
      <w:lvlText w:val="%8)"/>
      <w:lvlJc w:val="left"/>
      <w:pPr>
        <w:ind w:left="3900" w:hanging="420"/>
      </w:pPr>
    </w:lvl>
    <w:lvl w:ilvl="8" w:tplc="0409001B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D94"/>
    <w:rsid w:val="00050EE9"/>
    <w:rsid w:val="000536F9"/>
    <w:rsid w:val="0005770D"/>
    <w:rsid w:val="000A769A"/>
    <w:rsid w:val="000C6E89"/>
    <w:rsid w:val="0011550C"/>
    <w:rsid w:val="001412B4"/>
    <w:rsid w:val="00184020"/>
    <w:rsid w:val="00195135"/>
    <w:rsid w:val="001A188F"/>
    <w:rsid w:val="001A601B"/>
    <w:rsid w:val="001F143E"/>
    <w:rsid w:val="00201E07"/>
    <w:rsid w:val="00214E41"/>
    <w:rsid w:val="00217135"/>
    <w:rsid w:val="0021792A"/>
    <w:rsid w:val="00241EB1"/>
    <w:rsid w:val="002769B6"/>
    <w:rsid w:val="002B3A2F"/>
    <w:rsid w:val="002D58A9"/>
    <w:rsid w:val="002E4857"/>
    <w:rsid w:val="00314D86"/>
    <w:rsid w:val="00334505"/>
    <w:rsid w:val="00366055"/>
    <w:rsid w:val="00395128"/>
    <w:rsid w:val="00521D20"/>
    <w:rsid w:val="00533861"/>
    <w:rsid w:val="00556FE0"/>
    <w:rsid w:val="005A591F"/>
    <w:rsid w:val="005B4F27"/>
    <w:rsid w:val="005D6E31"/>
    <w:rsid w:val="006040D0"/>
    <w:rsid w:val="00641619"/>
    <w:rsid w:val="0064325B"/>
    <w:rsid w:val="006975AD"/>
    <w:rsid w:val="006A060B"/>
    <w:rsid w:val="006B608C"/>
    <w:rsid w:val="006E74DD"/>
    <w:rsid w:val="006F472F"/>
    <w:rsid w:val="00784A89"/>
    <w:rsid w:val="00791D60"/>
    <w:rsid w:val="007C10ED"/>
    <w:rsid w:val="007F21C3"/>
    <w:rsid w:val="007F23EE"/>
    <w:rsid w:val="0080155F"/>
    <w:rsid w:val="008A6C7E"/>
    <w:rsid w:val="008D7D7C"/>
    <w:rsid w:val="008F5EBD"/>
    <w:rsid w:val="0090716E"/>
    <w:rsid w:val="00920E7B"/>
    <w:rsid w:val="009338A1"/>
    <w:rsid w:val="00936FD9"/>
    <w:rsid w:val="00976948"/>
    <w:rsid w:val="009B366A"/>
    <w:rsid w:val="009D5253"/>
    <w:rsid w:val="00A24AB0"/>
    <w:rsid w:val="00A34E59"/>
    <w:rsid w:val="00A52D2D"/>
    <w:rsid w:val="00A54CBC"/>
    <w:rsid w:val="00A87E4B"/>
    <w:rsid w:val="00B35875"/>
    <w:rsid w:val="00B76B92"/>
    <w:rsid w:val="00B8330A"/>
    <w:rsid w:val="00BB6110"/>
    <w:rsid w:val="00BE0805"/>
    <w:rsid w:val="00C034C4"/>
    <w:rsid w:val="00C40A3E"/>
    <w:rsid w:val="00C60DC2"/>
    <w:rsid w:val="00C61EF7"/>
    <w:rsid w:val="00C7779B"/>
    <w:rsid w:val="00C84A31"/>
    <w:rsid w:val="00CA0273"/>
    <w:rsid w:val="00CB4147"/>
    <w:rsid w:val="00CD3C43"/>
    <w:rsid w:val="00CF60F6"/>
    <w:rsid w:val="00D13597"/>
    <w:rsid w:val="00E1651E"/>
    <w:rsid w:val="00E71125"/>
    <w:rsid w:val="00E72C6F"/>
    <w:rsid w:val="00EC10E3"/>
    <w:rsid w:val="00F37C9D"/>
    <w:rsid w:val="00F44FC9"/>
    <w:rsid w:val="00F634CF"/>
    <w:rsid w:val="00F73EAD"/>
    <w:rsid w:val="00F7439B"/>
    <w:rsid w:val="00F91D94"/>
    <w:rsid w:val="00FF01CB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7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1D94"/>
    <w:pPr>
      <w:ind w:firstLineChars="200" w:firstLine="420"/>
    </w:pPr>
  </w:style>
  <w:style w:type="character" w:styleId="a4">
    <w:name w:val="Hyperlink"/>
    <w:uiPriority w:val="99"/>
    <w:rsid w:val="00E1651E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8D7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8D7D7C"/>
    <w:rPr>
      <w:sz w:val="18"/>
      <w:szCs w:val="18"/>
    </w:rPr>
  </w:style>
  <w:style w:type="paragraph" w:styleId="a6">
    <w:name w:val="footer"/>
    <w:basedOn w:val="a"/>
    <w:link w:val="Char0"/>
    <w:uiPriority w:val="99"/>
    <w:rsid w:val="008D7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8D7D7C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rsid w:val="00D13597"/>
    <w:pPr>
      <w:ind w:leftChars="2500" w:left="100"/>
    </w:pPr>
  </w:style>
  <w:style w:type="character" w:customStyle="1" w:styleId="Char1">
    <w:name w:val="日期 Char"/>
    <w:link w:val="a7"/>
    <w:uiPriority w:val="99"/>
    <w:semiHidden/>
    <w:locked/>
    <w:rPr>
      <w:sz w:val="21"/>
      <w:szCs w:val="21"/>
    </w:rPr>
  </w:style>
  <w:style w:type="paragraph" w:styleId="a8">
    <w:name w:val="Balloon Text"/>
    <w:basedOn w:val="a"/>
    <w:link w:val="Char2"/>
    <w:uiPriority w:val="99"/>
    <w:semiHidden/>
    <w:unhideWhenUsed/>
    <w:rsid w:val="000C6E89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0C6E89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zxq</dc:creator>
  <cp:keywords/>
  <dc:description/>
  <cp:lastModifiedBy>zxq</cp:lastModifiedBy>
  <cp:revision>56</cp:revision>
  <cp:lastPrinted>2016-09-13T06:55:00Z</cp:lastPrinted>
  <dcterms:created xsi:type="dcterms:W3CDTF">2016-09-09T08:59:00Z</dcterms:created>
  <dcterms:modified xsi:type="dcterms:W3CDTF">2016-09-13T07:02:00Z</dcterms:modified>
</cp:coreProperties>
</file>